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24"/>
        <w:gridCol w:w="2650"/>
        <w:gridCol w:w="2751"/>
        <w:gridCol w:w="2014"/>
      </w:tblGrid>
      <w:tr w:rsidR="0006138C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3645E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 w:rsidR="00A24555">
              <w:rPr>
                <w:b/>
                <w:i/>
                <w:color w:val="C00000"/>
                <w:sz w:val="48"/>
                <w:szCs w:val="48"/>
              </w:rPr>
              <w:t>19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</w:t>
            </w:r>
            <w:r>
              <w:rPr>
                <w:b/>
                <w:i/>
                <w:color w:val="C00000"/>
                <w:sz w:val="48"/>
                <w:szCs w:val="48"/>
              </w:rPr>
              <w:t>6.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-</w:t>
            </w:r>
            <w:r w:rsidR="00A24555">
              <w:rPr>
                <w:b/>
                <w:i/>
                <w:color w:val="C00000"/>
                <w:sz w:val="48"/>
                <w:szCs w:val="48"/>
              </w:rPr>
              <w:t>23</w:t>
            </w:r>
            <w:r w:rsidR="008472E2">
              <w:rPr>
                <w:b/>
                <w:i/>
                <w:color w:val="C00000"/>
                <w:sz w:val="48"/>
                <w:szCs w:val="48"/>
              </w:rPr>
              <w:t>.6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06138C" w:rsidRDefault="0006138C">
            <w:pPr>
              <w:rPr>
                <w:b/>
                <w:color w:val="7030A0"/>
                <w:sz w:val="52"/>
                <w:szCs w:val="52"/>
              </w:rPr>
            </w:pP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06138C" w:rsidP="0006138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>
                  <wp:extent cx="1609725" cy="12477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8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06138C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A77D38" w:rsidRPr="003135C5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A24555">
              <w:t xml:space="preserve"> do konce</w:t>
            </w:r>
          </w:p>
          <w:p w:rsidR="008472E2" w:rsidRPr="00A77D38" w:rsidRDefault="008472E2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06138C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823D3F" w:rsidRDefault="0049639B" w:rsidP="00B376A8">
            <w:r>
              <w:t>Opakujeme psací písmena</w:t>
            </w:r>
          </w:p>
          <w:p w:rsidR="0049639B" w:rsidRPr="004079C7" w:rsidRDefault="0063645E" w:rsidP="00B376A8">
            <w:r>
              <w:t>Opisy a přepisy slov, vět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A24555">
            <w:r>
              <w:t>P</w:t>
            </w:r>
            <w:r w:rsidR="00A456D3">
              <w:t xml:space="preserve">ísanka </w:t>
            </w:r>
            <w:proofErr w:type="gramStart"/>
            <w:r w:rsidR="00A456D3">
              <w:t xml:space="preserve">č.4 – </w:t>
            </w:r>
            <w:r w:rsidR="00A24555">
              <w:t>do</w:t>
            </w:r>
            <w:proofErr w:type="gramEnd"/>
            <w:r w:rsidR="00A24555">
              <w:t xml:space="preserve"> konce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06138C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63645E" w:rsidRPr="007E3BE7" w:rsidRDefault="00A24555" w:rsidP="00120C8A">
            <w:r>
              <w:t>Opakování matematických prostředí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A24555">
              <w:rPr>
                <w:color w:val="000000" w:themeColor="text1"/>
              </w:rPr>
              <w:t xml:space="preserve"> do konce PS</w:t>
            </w:r>
          </w:p>
        </w:tc>
        <w:tc>
          <w:tcPr>
            <w:tcW w:w="2116" w:type="dxa"/>
          </w:tcPr>
          <w:p w:rsidR="002D0AF4" w:rsidRPr="0063645E" w:rsidRDefault="0063645E" w:rsidP="0063645E">
            <w:r w:rsidRPr="0063645E">
              <w:rPr>
                <w:color w:val="FF0000"/>
              </w:rPr>
              <w:t>Procvičujete i pamětné sčítání a odčítání do 20</w:t>
            </w:r>
          </w:p>
        </w:tc>
      </w:tr>
      <w:tr w:rsidR="0006138C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3645E" w:rsidRDefault="0063645E" w:rsidP="009F648A"/>
          <w:p w:rsidR="00A24555" w:rsidRDefault="00A24555" w:rsidP="009F648A">
            <w:r>
              <w:t>Práce v lese</w:t>
            </w:r>
          </w:p>
          <w:p w:rsidR="003135C5" w:rsidRPr="004439A0" w:rsidRDefault="00A24555" w:rsidP="009F648A">
            <w:r>
              <w:t>Léto – aktivity, bezpečnost</w:t>
            </w:r>
          </w:p>
        </w:tc>
        <w:tc>
          <w:tcPr>
            <w:tcW w:w="2420" w:type="dxa"/>
          </w:tcPr>
          <w:p w:rsidR="00624095" w:rsidRDefault="008472E2" w:rsidP="004C5D10">
            <w:r>
              <w:t xml:space="preserve">ČT </w:t>
            </w:r>
            <w:proofErr w:type="spellStart"/>
            <w:r>
              <w:t>edu</w:t>
            </w:r>
            <w:proofErr w:type="spellEnd"/>
            <w:r>
              <w:t xml:space="preserve"> – výuková videa</w:t>
            </w:r>
          </w:p>
          <w:p w:rsidR="0063645E" w:rsidRPr="0049639B" w:rsidRDefault="00A24555" w:rsidP="004C5D10">
            <w:r>
              <w:t>PS do konce</w:t>
            </w:r>
          </w:p>
        </w:tc>
        <w:tc>
          <w:tcPr>
            <w:tcW w:w="2116" w:type="dxa"/>
          </w:tcPr>
          <w:p w:rsidR="00F872DE" w:rsidRPr="00F24241" w:rsidRDefault="00F872DE" w:rsidP="00F24241">
            <w:pPr>
              <w:rPr>
                <w:color w:val="00B050"/>
              </w:rPr>
            </w:pPr>
          </w:p>
        </w:tc>
      </w:tr>
      <w:tr w:rsidR="0006138C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786565" w:rsidRPr="00786565" w:rsidRDefault="00786565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656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opakování slovní zásoby 1. třídy</w:t>
            </w:r>
          </w:p>
          <w:p w:rsidR="00786565" w:rsidRPr="00786565" w:rsidRDefault="00786565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656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 jednoduché otázky a odpovědi</w:t>
            </w:r>
          </w:p>
          <w:p w:rsidR="00786565" w:rsidRPr="00786565" w:rsidRDefault="00786565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656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 pracovní list, poslechová cvičení</w:t>
            </w:r>
          </w:p>
          <w:p w:rsidR="008472E2" w:rsidRPr="00847BF7" w:rsidRDefault="008472E2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9F648A">
      <w:pPr>
        <w:rPr>
          <w:color w:val="7030A0"/>
        </w:rPr>
      </w:pPr>
    </w:p>
    <w:p w:rsidR="00A24555" w:rsidRDefault="00A24555" w:rsidP="00044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22. 6. AKADEMIE – od 17 – 19,30 hod – sraz bude upřesněn</w:t>
      </w:r>
    </w:p>
    <w:p w:rsidR="00A24555" w:rsidRDefault="00A24555" w:rsidP="00044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23. 6. – vyklízení skříněk</w:t>
      </w:r>
    </w:p>
    <w:p w:rsidR="00A24555" w:rsidRDefault="00A24555" w:rsidP="000441D4">
      <w:pPr>
        <w:rPr>
          <w:color w:val="0070C0"/>
          <w:sz w:val="32"/>
          <w:szCs w:val="32"/>
        </w:rPr>
      </w:pPr>
      <w:r>
        <w:rPr>
          <w:color w:val="FF0000"/>
          <w:sz w:val="32"/>
          <w:szCs w:val="32"/>
        </w:rPr>
        <w:t xml:space="preserve">V týdnu od 23. 6. – 26. 6. – předávání učebnic – </w:t>
      </w:r>
      <w:r>
        <w:rPr>
          <w:color w:val="0070C0"/>
          <w:sz w:val="32"/>
          <w:szCs w:val="32"/>
        </w:rPr>
        <w:t>pracovní sešity a slabikář z 1. třídy si děti nechávají.</w:t>
      </w:r>
    </w:p>
    <w:p w:rsidR="00A24555" w:rsidRDefault="00A24555" w:rsidP="000441D4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V tomto či příštím týdnu bychom si udělali jednodenní pěší výlet do okolí – záleží na počasí. </w:t>
      </w:r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FF0000"/>
          <w:sz w:val="32"/>
          <w:szCs w:val="32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5344"/>
    <w:rsid w:val="009F648A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D4E4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D85-C5F5-4238-86FC-0D5470D5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239</cp:revision>
  <cp:lastPrinted>2023-03-20T06:28:00Z</cp:lastPrinted>
  <dcterms:created xsi:type="dcterms:W3CDTF">2022-09-06T14:02:00Z</dcterms:created>
  <dcterms:modified xsi:type="dcterms:W3CDTF">2023-06-15T08:17:00Z</dcterms:modified>
</cp:coreProperties>
</file>